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8306"/>
      </w:tblGrid>
      <w:tr w:rsidR="00630DE9" w:rsidRPr="00630D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2970"/>
              <w:gridCol w:w="4860"/>
            </w:tblGrid>
            <w:tr w:rsidR="00630DE9" w:rsidRPr="00630DE9">
              <w:trPr>
                <w:trHeight w:val="1845"/>
              </w:trPr>
              <w:tc>
                <w:tcPr>
                  <w:tcW w:w="279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0DE9" w:rsidRPr="00630DE9" w:rsidRDefault="00630DE9" w:rsidP="00630DE9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inline distT="0" distB="0" distL="0" distR="0">
                        <wp:extent cx="1771650" cy="1171575"/>
                        <wp:effectExtent l="19050" t="0" r="0" b="0"/>
                        <wp:docPr id="1" name="图片 1" descr="http://www.apo.lyondellbasell.com/static/wma/JPG/1/4/1/4/2/TPV_1000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http://www.apo.lyondellbasell.com/static/wma/JPG/1/4/1/4/2/TPV_1000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71650" cy="11715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tbl>
                  <w:tblPr>
                    <w:tblW w:w="4500" w:type="dxa"/>
                    <w:tblCellMar>
                      <w:top w:w="75" w:type="dxa"/>
                      <w:left w:w="75" w:type="dxa"/>
                      <w:bottom w:w="75" w:type="dxa"/>
                      <w:right w:w="75" w:type="dxa"/>
                    </w:tblCellMar>
                    <w:tblLook w:val="04A0"/>
                  </w:tblPr>
                  <w:tblGrid>
                    <w:gridCol w:w="4710"/>
                  </w:tblGrid>
                  <w:tr w:rsidR="00630DE9" w:rsidRPr="00630DE9">
                    <w:tc>
                      <w:tcPr>
                        <w:tcW w:w="450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hideMark/>
                      </w:tcPr>
                      <w:p w:rsidR="00630DE9" w:rsidRPr="00630DE9" w:rsidRDefault="00630DE9" w:rsidP="00630DE9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proofErr w:type="spellStart"/>
                        <w:r w:rsidRPr="00630DE9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>NexPrene</w:t>
                        </w:r>
                        <w:proofErr w:type="spellEnd"/>
                        <w:r w:rsidRPr="00630DE9">
                          <w:rPr>
                            <w:rFonts w:ascii="Arial" w:eastAsia="宋体" w:hAnsi="Arial" w:cs="Arial"/>
                            <w:b/>
                            <w:bCs/>
                            <w:color w:val="000000"/>
                            <w:kern w:val="0"/>
                            <w:sz w:val="36"/>
                            <w:szCs w:val="36"/>
                          </w:rPr>
                          <w:t xml:space="preserve"> TPEs</w:t>
                        </w:r>
                        <w:r w:rsidRPr="00630DE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>
                          <w:rPr>
                            <w:rFonts w:ascii="Arial" w:eastAsia="宋体" w:hAnsi="Arial" w:cs="Arial"/>
                            <w:noProof/>
                            <w:color w:val="000000"/>
                            <w:kern w:val="0"/>
                            <w:sz w:val="17"/>
                            <w:szCs w:val="17"/>
                          </w:rPr>
                          <w:drawing>
                            <wp:inline distT="0" distB="0" distL="0" distR="0">
                              <wp:extent cx="2867025" cy="66675"/>
                              <wp:effectExtent l="19050" t="0" r="9525" b="0"/>
                              <wp:docPr id="2" name="图片 2" descr="http://www.apo.lyondellbasell.com/static/wma/gif/1/4/5/8/8/Ligne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apo.lyondellbasell.com/static/wma/gif/1/4/5/8/8/Ligne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867025" cy="6667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630DE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  <w:br/>
                        </w:r>
                        <w:r w:rsidRPr="00630DE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27"/>
                            <w:szCs w:val="27"/>
                          </w:rPr>
                          <w:t>Automotive and General Purpose</w:t>
                        </w:r>
                      </w:p>
                    </w:tc>
                  </w:tr>
                </w:tbl>
                <w:p w:rsidR="00630DE9" w:rsidRPr="00630DE9" w:rsidRDefault="00630DE9" w:rsidP="00630DE9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630DE9" w:rsidRPr="00630DE9" w:rsidRDefault="00630DE9" w:rsidP="00630DE9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  <w:tr w:rsidR="00630DE9" w:rsidRPr="00630DE9">
        <w:trPr>
          <w:tblCellSpacing w:w="0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750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405"/>
              <w:gridCol w:w="7095"/>
            </w:tblGrid>
            <w:tr w:rsidR="00630DE9" w:rsidRPr="00630DE9">
              <w:tc>
                <w:tcPr>
                  <w:tcW w:w="40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0DE9" w:rsidRPr="00630DE9" w:rsidRDefault="00630DE9" w:rsidP="00630DE9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  <w:tc>
                <w:tcPr>
                  <w:tcW w:w="7095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:rsidR="00630DE9" w:rsidRPr="00630DE9" w:rsidRDefault="00630DE9" w:rsidP="00630DE9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  <w:p w:rsidR="00630DE9" w:rsidRPr="00630DE9" w:rsidRDefault="00630DE9" w:rsidP="00630DE9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The </w:t>
                  </w:r>
                  <w:proofErr w:type="spellStart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NexPrene</w:t>
                  </w:r>
                  <w:proofErr w:type="spellEnd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® 1000 series contains materials designed for use in automotive applications and as general-purpose </w:t>
                  </w:r>
                  <w:proofErr w:type="spellStart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elastomers</w:t>
                  </w:r>
                  <w:proofErr w:type="spellEnd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. Grades in this series are available in a range of hardness from 25 Shore A to 50 Shore D.</w:t>
                  </w:r>
                </w:p>
                <w:p w:rsidR="00630DE9" w:rsidRPr="00630DE9" w:rsidRDefault="00630DE9" w:rsidP="00630DE9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These materials have been developed as replacements for </w:t>
                  </w:r>
                  <w:proofErr w:type="spellStart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thermoset</w:t>
                  </w:r>
                  <w:proofErr w:type="spellEnd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</w:t>
                  </w:r>
                  <w:proofErr w:type="spellStart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elastomers</w:t>
                  </w:r>
                  <w:proofErr w:type="spellEnd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such as </w:t>
                  </w:r>
                  <w:proofErr w:type="spellStart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polychloroprene</w:t>
                  </w:r>
                  <w:proofErr w:type="spellEnd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or EPDM. </w:t>
                  </w:r>
                  <w:proofErr w:type="spellStart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NexPrene</w:t>
                  </w:r>
                  <w:proofErr w:type="spellEnd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materials provide the elastomeric properties of </w:t>
                  </w:r>
                  <w:proofErr w:type="spellStart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thermoset</w:t>
                  </w:r>
                  <w:proofErr w:type="spellEnd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products, including resistance to compression set and oil swell.</w:t>
                  </w:r>
                </w:p>
                <w:p w:rsidR="00630DE9" w:rsidRPr="00630DE9" w:rsidRDefault="00630DE9" w:rsidP="00630DE9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These cost-efficient TPEs can be easily recycled, and they are designed to be processed using conventional equipment and methods.</w:t>
                  </w:r>
                </w:p>
                <w:p w:rsidR="00630DE9" w:rsidRPr="00630DE9" w:rsidRDefault="00630DE9" w:rsidP="00630DE9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>
                    <w:rPr>
                      <w:rFonts w:ascii="Arial" w:eastAsia="宋体" w:hAnsi="Arial" w:cs="Arial"/>
                      <w:noProof/>
                      <w:color w:val="000000"/>
                      <w:kern w:val="0"/>
                      <w:sz w:val="17"/>
                      <w:szCs w:val="17"/>
                    </w:rPr>
                    <w:drawing>
                      <wp:anchor distT="0" distB="0" distL="0" distR="0" simplePos="0" relativeHeight="251658240" behindDoc="0" locked="0" layoutInCell="1" allowOverlap="0">
                        <wp:simplePos x="0" y="0"/>
                        <wp:positionH relativeFrom="column">
                          <wp:align>right</wp:align>
                        </wp:positionH>
                        <wp:positionV relativeFrom="line">
                          <wp:posOffset>0</wp:posOffset>
                        </wp:positionV>
                        <wp:extent cx="1971675" cy="1409700"/>
                        <wp:effectExtent l="19050" t="0" r="9525" b="0"/>
                        <wp:wrapSquare wrapText="bothSides"/>
                        <wp:docPr id="3" name="图片 2" descr="TPV_NEXAUTOGENERAL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TPV_NEXAUTOGENERAL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71675" cy="14097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proofErr w:type="spellStart"/>
                  <w:r w:rsidRPr="00630DE9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NexPrene</w:t>
                  </w:r>
                  <w:proofErr w:type="spellEnd"/>
                  <w:r w:rsidRPr="00630DE9">
                    <w:rPr>
                      <w:rFonts w:ascii="Arial" w:eastAsia="宋体" w:hAnsi="Arial" w:cs="Arial"/>
                      <w:b/>
                      <w:bCs/>
                      <w:color w:val="0065CE"/>
                      <w:kern w:val="0"/>
                      <w:sz w:val="18"/>
                    </w:rPr>
                    <w:t>® 1000 series — Technical Data</w:t>
                  </w:r>
                </w:p>
                <w:p w:rsidR="00630DE9" w:rsidRPr="00630DE9" w:rsidRDefault="00630DE9" w:rsidP="00630DE9">
                  <w:pPr>
                    <w:widowControl/>
                    <w:spacing w:before="100" w:beforeAutospacing="1" w:after="100" w:afterAutospacing="1"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Products in this series are identified by their hardness ratings in the last three positions of the product name.  For example, </w:t>
                  </w:r>
                  <w:proofErr w:type="spellStart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>NexPrene</w:t>
                  </w:r>
                  <w:proofErr w:type="spellEnd"/>
                  <w:r w:rsidRPr="00630DE9">
                    <w:rPr>
                      <w:rFonts w:ascii="Arial" w:eastAsia="宋体" w:hAnsi="Arial" w:cs="Arial"/>
                      <w:color w:val="000000"/>
                      <w:kern w:val="0"/>
                      <w:sz w:val="18"/>
                    </w:rPr>
                    <w:t xml:space="preserve"> 1055A TPE has a nominal hardness that measures 55 Shore A.</w:t>
                  </w:r>
                  <w:r w:rsidRPr="00630DE9">
                    <w:rPr>
                      <w:rFonts w:ascii="Arial" w:eastAsia="宋体" w:hAnsi="Arial" w:cs="Arial"/>
                      <w:i/>
                      <w:iCs/>
                      <w:color w:val="4C90C1"/>
                      <w:kern w:val="0"/>
                      <w:sz w:val="18"/>
                    </w:rPr>
                    <w:t>  For performance properties of one of the materials in the 1000 series, click on the product designation below:</w:t>
                  </w:r>
                </w:p>
                <w:tbl>
                  <w:tblPr>
                    <w:tblW w:w="5000" w:type="pct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2364"/>
                    <w:gridCol w:w="2349"/>
                    <w:gridCol w:w="2382"/>
                  </w:tblGrid>
                  <w:tr w:rsidR="00630DE9" w:rsidRPr="00630DE9">
                    <w:trPr>
                      <w:tblCellSpacing w:w="15" w:type="dxa"/>
                    </w:trPr>
                    <w:tc>
                      <w:tcPr>
                        <w:tcW w:w="0" w:type="auto"/>
                        <w:hideMark/>
                      </w:tcPr>
                      <w:p w:rsidR="00630DE9" w:rsidRPr="00630DE9" w:rsidRDefault="00630DE9" w:rsidP="00630DE9">
                        <w:pPr>
                          <w:widowControl/>
                          <w:spacing w:before="100" w:beforeAutospacing="1" w:after="100" w:afterAutospacing="1"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7" w:tgtFrame="_blank" w:history="1">
                          <w:r w:rsidRPr="00630DE9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1024A</w:t>
                          </w:r>
                        </w:hyperlink>
                        <w:r w:rsidRPr="00630DE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8" w:tgtFrame="_blank" w:history="1">
                          <w:r w:rsidRPr="00630DE9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1035A</w:t>
                          </w:r>
                        </w:hyperlink>
                        <w:r w:rsidRPr="00630DE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9" w:tgtFrame="_blank" w:history="1">
                          <w:r w:rsidRPr="00630DE9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1040A</w:t>
                          </w:r>
                        </w:hyperlink>
                        <w:r w:rsidRPr="00630DE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0" w:tgtFrame="_blank" w:history="1">
                          <w:r w:rsidRPr="00630DE9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1045A</w:t>
                          </w:r>
                        </w:hyperlink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630DE9" w:rsidRPr="00630DE9" w:rsidRDefault="00630DE9" w:rsidP="00630DE9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11" w:tgtFrame="_blank" w:history="1">
                          <w:r w:rsidRPr="00630DE9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1055A</w:t>
                          </w:r>
                        </w:hyperlink>
                        <w:r w:rsidRPr="00630DE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2" w:tgtFrame="_blank" w:history="1">
                          <w:r w:rsidRPr="00630DE9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1064A</w:t>
                          </w:r>
                        </w:hyperlink>
                        <w:r w:rsidRPr="00630DE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3" w:tgtFrame="_blank" w:history="1">
                          <w:r w:rsidRPr="00630DE9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1067A</w:t>
                          </w:r>
                        </w:hyperlink>
                        <w:r w:rsidRPr="00630DE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4" w:tgtFrame="_blank" w:history="1">
                          <w:r w:rsidRPr="00630DE9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1075A</w:t>
                          </w:r>
                        </w:hyperlink>
                      </w:p>
                    </w:tc>
                    <w:tc>
                      <w:tcPr>
                        <w:tcW w:w="0" w:type="auto"/>
                        <w:hideMark/>
                      </w:tcPr>
                      <w:p w:rsidR="00630DE9" w:rsidRPr="00630DE9" w:rsidRDefault="00630DE9" w:rsidP="00630DE9">
                        <w:pPr>
                          <w:widowControl/>
                          <w:spacing w:line="195" w:lineRule="atLeast"/>
                          <w:jc w:val="left"/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7"/>
                            <w:szCs w:val="17"/>
                          </w:rPr>
                        </w:pPr>
                        <w:hyperlink r:id="rId15" w:tgtFrame="_blank" w:history="1">
                          <w:r w:rsidRPr="00630DE9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1080A</w:t>
                          </w:r>
                        </w:hyperlink>
                        <w:r w:rsidRPr="00630DE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6" w:tgtFrame="_blank" w:history="1">
                          <w:r w:rsidRPr="00630DE9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1087A</w:t>
                          </w:r>
                        </w:hyperlink>
                        <w:r w:rsidRPr="00630DE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7" w:tgtFrame="_blank" w:history="1">
                          <w:r w:rsidRPr="00630DE9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1040D</w:t>
                          </w:r>
                        </w:hyperlink>
                        <w:r w:rsidRPr="00630DE9">
                          <w:rPr>
                            <w:rFonts w:ascii="Arial" w:eastAsia="宋体" w:hAnsi="Arial" w:cs="Arial"/>
                            <w:color w:val="000000"/>
                            <w:kern w:val="0"/>
                            <w:sz w:val="18"/>
                            <w:szCs w:val="18"/>
                          </w:rPr>
                          <w:br/>
                        </w:r>
                        <w:hyperlink r:id="rId18" w:tgtFrame="_blank" w:history="1">
                          <w:r w:rsidRPr="00630DE9">
                            <w:rPr>
                              <w:rFonts w:ascii="Arial" w:eastAsia="宋体" w:hAnsi="Arial" w:cs="Arial"/>
                              <w:color w:val="999999"/>
                              <w:kern w:val="0"/>
                              <w:sz w:val="17"/>
                              <w:u w:val="single"/>
                            </w:rPr>
                            <w:t>NexPrene 1050D</w:t>
                          </w:r>
                        </w:hyperlink>
                      </w:p>
                    </w:tc>
                  </w:tr>
                </w:tbl>
                <w:p w:rsidR="00630DE9" w:rsidRPr="00630DE9" w:rsidRDefault="00630DE9" w:rsidP="00630DE9">
                  <w:pPr>
                    <w:widowControl/>
                    <w:spacing w:line="195" w:lineRule="atLeast"/>
                    <w:jc w:val="left"/>
                    <w:rPr>
                      <w:rFonts w:ascii="Arial" w:eastAsia="宋体" w:hAnsi="Arial" w:cs="Arial"/>
                      <w:color w:val="000000"/>
                      <w:kern w:val="0"/>
                      <w:sz w:val="17"/>
                      <w:szCs w:val="17"/>
                    </w:rPr>
                  </w:pPr>
                </w:p>
              </w:tc>
            </w:tr>
          </w:tbl>
          <w:p w:rsidR="00630DE9" w:rsidRPr="00630DE9" w:rsidRDefault="00630DE9" w:rsidP="00630DE9">
            <w:pPr>
              <w:widowControl/>
              <w:spacing w:line="195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17"/>
                <w:szCs w:val="17"/>
              </w:rPr>
            </w:pPr>
          </w:p>
        </w:tc>
      </w:tr>
    </w:tbl>
    <w:p w:rsidR="00B856D5" w:rsidRPr="00630DE9" w:rsidRDefault="00B856D5"/>
    <w:sectPr w:rsidR="00B856D5" w:rsidRPr="00630DE9" w:rsidSect="00B8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30DE9"/>
    <w:rsid w:val="00630DE9"/>
    <w:rsid w:val="00B856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6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0DE9"/>
    <w:rPr>
      <w:color w:val="999999"/>
      <w:sz w:val="17"/>
      <w:szCs w:val="17"/>
      <w:u w:val="single"/>
    </w:rPr>
  </w:style>
  <w:style w:type="paragraph" w:styleId="a4">
    <w:name w:val="Normal (Web)"/>
    <w:basedOn w:val="a"/>
    <w:uiPriority w:val="99"/>
    <w:unhideWhenUsed/>
    <w:rsid w:val="00630DE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textehtml1">
    <w:name w:val="textehtml1"/>
    <w:basedOn w:val="a0"/>
    <w:rsid w:val="00630DE9"/>
    <w:rPr>
      <w:i w:val="0"/>
      <w:iCs w:val="0"/>
      <w:color w:val="000000"/>
      <w:sz w:val="18"/>
      <w:szCs w:val="18"/>
    </w:rPr>
  </w:style>
  <w:style w:type="character" w:customStyle="1" w:styleId="h11">
    <w:name w:val="h11"/>
    <w:basedOn w:val="a0"/>
    <w:rsid w:val="00630DE9"/>
    <w:rPr>
      <w:b/>
      <w:bCs/>
      <w:color w:val="0065CE"/>
      <w:sz w:val="18"/>
      <w:szCs w:val="18"/>
    </w:rPr>
  </w:style>
  <w:style w:type="character" w:styleId="a5">
    <w:name w:val="Emphasis"/>
    <w:basedOn w:val="a0"/>
    <w:uiPriority w:val="20"/>
    <w:qFormat/>
    <w:rsid w:val="00630DE9"/>
    <w:rPr>
      <w:i/>
      <w:iCs/>
    </w:rPr>
  </w:style>
  <w:style w:type="paragraph" w:styleId="a6">
    <w:name w:val="Balloon Text"/>
    <w:basedOn w:val="a"/>
    <w:link w:val="Char"/>
    <w:uiPriority w:val="99"/>
    <w:semiHidden/>
    <w:unhideWhenUsed/>
    <w:rsid w:val="00630DE9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630DE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o.lyondellbasell.com/static/wma/pdf/1/0/4/8/1/NexPrene_1035A_Aging_2-page.pdf" TargetMode="External"/><Relationship Id="rId13" Type="http://schemas.openxmlformats.org/officeDocument/2006/relationships/hyperlink" Target="http://www.apo.lyondellbasell.com/static/wma/pdf/1/0/4/8/6/NexPrene_1067A_Aging_2-page.pdf" TargetMode="External"/><Relationship Id="rId18" Type="http://schemas.openxmlformats.org/officeDocument/2006/relationships/hyperlink" Target="http://www.apo.lyondellbasell.com/static/wma/pdf/1/0/4/9/1/NexPrene_1050D_Aging_2-page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apo.lyondellbasell.com/static/wma/pdf/1/0/4/7/0/NexPrene_1024A_Aging_2-page.pdf" TargetMode="External"/><Relationship Id="rId12" Type="http://schemas.openxmlformats.org/officeDocument/2006/relationships/hyperlink" Target="http://www.apo.lyondellbasell.com/static/wma/pdf/1/0/4/8/5/NexPrene_1064A_Aging_2-page.pdf" TargetMode="External"/><Relationship Id="rId17" Type="http://schemas.openxmlformats.org/officeDocument/2006/relationships/hyperlink" Target="http://www.apo.lyondellbasell.com/static/wma/pdf/1/0/4/9/0/NexPrene_1040D_Aging_2-page.pd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apo.lyondellbasell.com/static/wma/pdf/1/0/4/8/9/NexPrene_1087A_Aging_2-page.pdf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hyperlink" Target="http://www.apo.lyondellbasell.com/static/wma/pdf/1/0/4/8/4/NexPrene_1055A_Aging_2-page.pdf" TargetMode="External"/><Relationship Id="rId5" Type="http://schemas.openxmlformats.org/officeDocument/2006/relationships/image" Target="media/image2.gif"/><Relationship Id="rId15" Type="http://schemas.openxmlformats.org/officeDocument/2006/relationships/hyperlink" Target="http://www.apo.lyondellbasell.com/static/wma/pdf/1/0/4/8/8/NexPrene_1080A_Aging_2-page.pdf" TargetMode="External"/><Relationship Id="rId10" Type="http://schemas.openxmlformats.org/officeDocument/2006/relationships/hyperlink" Target="http://www.apo.lyondellbasell.com/static/wma/pdf/1/0/4/8/3/NexPrene_1045A_Aging_2-page.pdf" TargetMode="External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apo.lyondellbasell.com/static/wma/pdf/1/0/4/8/2/NexPrene_1040A_Aging_2-page.pdf" TargetMode="External"/><Relationship Id="rId14" Type="http://schemas.openxmlformats.org/officeDocument/2006/relationships/hyperlink" Target="http://www.apo.lyondellbasell.com/static/wma/pdf/1/0/4/8/7/NexPrene_1075A_Aging_2-page.pdf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388</Words>
  <Characters>2216</Characters>
  <Application>Microsoft Office Word</Application>
  <DocSecurity>0</DocSecurity>
  <Lines>18</Lines>
  <Paragraphs>5</Paragraphs>
  <ScaleCrop>false</ScaleCrop>
  <Company/>
  <LinksUpToDate>false</LinksUpToDate>
  <CharactersWithSpaces>2599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Haier</dc:creator>
  <cp:lastModifiedBy>Haier</cp:lastModifiedBy>
  <cp:revision>1</cp:revision>
  <dcterms:created xsi:type="dcterms:W3CDTF">2008-03-06T04:58:00Z</dcterms:created>
  <dcterms:modified xsi:type="dcterms:W3CDTF">2008-03-06T04:58:00Z</dcterms:modified>
</cp:coreProperties>
</file>